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sz w:val="24"/>
          <w:szCs w:val="24"/>
        </w:rPr>
      </w:pPr>
      <w:r>
        <w:rPr>
          <w:lang w:val="en-US"/>
        </w:rPr>
        <w:pict>
          <v:shape id="_x0000_s1027" o:spid="_x0000_s1027" o:spt="75" type="#_x0000_t75" style="position:absolute;left:0pt;margin-left:78.8pt;margin-top:17.4pt;height:112pt;width:114.7pt;mso-position-horizontal-relative:margin;mso-wrap-distance-left:9pt;mso-wrap-distance-right:9pt;z-index:-251659264;mso-width-relative:page;mso-height-relative:page;" filled="f" o:preferrelative="t" stroked="f" coordsize="21600,21600" wrapcoords="-157 0 -157 21462 21600 21462 21600 0 -157 0">
            <v:path/>
            <v:fill on="f" focussize="0,0"/>
            <v:stroke on="f" joinstyle="miter"/>
            <v:imagedata r:id="rId4" o:title=""/>
            <o:lock v:ext="edit" aspectratio="t"/>
            <w10:wrap type="tight"/>
          </v:shape>
        </w:pict>
      </w:r>
    </w:p>
    <w:p>
      <w:pPr>
        <w:jc w:val="center"/>
        <w:rPr>
          <w:b/>
          <w:sz w:val="24"/>
          <w:szCs w:val="24"/>
        </w:rPr>
      </w:pPr>
    </w:p>
    <w:p>
      <w:pPr>
        <w:jc w:val="center"/>
        <w:rPr>
          <w:b/>
          <w:sz w:val="24"/>
          <w:szCs w:val="24"/>
        </w:rPr>
      </w:pPr>
      <w:r>
        <w:rPr>
          <w:lang w:val="en-US"/>
        </w:rPr>
        <w:pict>
          <v:shape id="图片 9" o:spid="_x0000_s1026" o:spt="75" type="#_x0000_t75" style="position:absolute;left:0pt;margin-left:252pt;margin-top:0pt;height:62.25pt;width:156.75pt;mso-wrap-distance-bottom:0pt;mso-wrap-distance-left:9pt;mso-wrap-distance-right:9pt;mso-wrap-distance-top:0pt;z-index:251658240;mso-width-relative:page;mso-height-relative:page;" filled="f" o:preferrelative="t" stroked="f" coordsize="21600,21600">
            <v:path/>
            <v:fill on="f" focussize="0,0"/>
            <v:stroke on="f" joinstyle="miter"/>
            <v:imagedata r:id="rId5" o:title=""/>
            <o:lock v:ext="edit" aspectratio="t"/>
            <w10:wrap type="square"/>
          </v:shape>
        </w:pict>
      </w:r>
    </w:p>
    <w:p>
      <w:pPr>
        <w:jc w:val="center"/>
        <w:rPr>
          <w:b/>
          <w:sz w:val="24"/>
          <w:szCs w:val="24"/>
        </w:rPr>
      </w:pPr>
    </w:p>
    <w:p>
      <w:pPr>
        <w:jc w:val="center"/>
        <w:rPr>
          <w:b/>
          <w:sz w:val="24"/>
          <w:szCs w:val="24"/>
        </w:rPr>
      </w:pPr>
    </w:p>
    <w:p>
      <w:pPr>
        <w:jc w:val="center"/>
        <w:rPr>
          <w:b/>
          <w:sz w:val="24"/>
          <w:szCs w:val="24"/>
        </w:rPr>
      </w:pPr>
    </w:p>
    <w:p>
      <w:pPr>
        <w:jc w:val="center"/>
        <w:rPr>
          <w:b/>
          <w:sz w:val="24"/>
          <w:szCs w:val="24"/>
        </w:rPr>
      </w:pPr>
    </w:p>
    <w:p>
      <w:pPr>
        <w:jc w:val="center"/>
        <w:rPr>
          <w:b/>
          <w:sz w:val="24"/>
          <w:szCs w:val="24"/>
        </w:rPr>
      </w:pPr>
    </w:p>
    <w:p>
      <w:pPr>
        <w:jc w:val="center"/>
        <w:rPr>
          <w:rFonts w:hint="eastAsia" w:eastAsia="等线"/>
          <w:b/>
          <w:sz w:val="24"/>
          <w:szCs w:val="24"/>
          <w:lang w:eastAsia="zh-CN"/>
        </w:rPr>
      </w:pPr>
      <w:r>
        <w:rPr>
          <w:rFonts w:hint="eastAsia"/>
          <w:b/>
          <w:sz w:val="24"/>
          <w:szCs w:val="24"/>
          <w:lang w:eastAsia="zh-CN"/>
        </w:rPr>
        <w:t>【招生简章】</w:t>
      </w:r>
    </w:p>
    <w:p>
      <w:pPr>
        <w:jc w:val="center"/>
        <w:rPr>
          <w:b/>
          <w:sz w:val="24"/>
          <w:szCs w:val="24"/>
        </w:rPr>
      </w:pPr>
      <w:r>
        <w:rPr>
          <w:rFonts w:hint="eastAsia"/>
          <w:b/>
          <w:sz w:val="24"/>
          <w:szCs w:val="24"/>
        </w:rPr>
        <w:t>东莞理工学院和圣玛丽大学“</w:t>
      </w:r>
      <w:r>
        <w:rPr>
          <w:b/>
          <w:sz w:val="24"/>
          <w:szCs w:val="24"/>
        </w:rPr>
        <w:t>3+1+1</w:t>
      </w:r>
      <w:r>
        <w:rPr>
          <w:rFonts w:hint="eastAsia"/>
          <w:b/>
          <w:sz w:val="24"/>
          <w:szCs w:val="24"/>
        </w:rPr>
        <w:t>”</w:t>
      </w:r>
      <w:r>
        <w:rPr>
          <w:b/>
          <w:sz w:val="24"/>
          <w:szCs w:val="24"/>
        </w:rPr>
        <w:t xml:space="preserve"> </w:t>
      </w:r>
      <w:r>
        <w:rPr>
          <w:rFonts w:hint="eastAsia"/>
          <w:b/>
          <w:sz w:val="24"/>
          <w:szCs w:val="24"/>
        </w:rPr>
        <w:t>本硕连读项目</w:t>
      </w:r>
    </w:p>
    <w:p>
      <w:pPr>
        <w:jc w:val="center"/>
        <w:rPr>
          <w:b/>
          <w:sz w:val="24"/>
          <w:szCs w:val="24"/>
        </w:rPr>
      </w:pPr>
      <w:r>
        <w:rPr>
          <w:rFonts w:hint="eastAsia"/>
          <w:b/>
          <w:sz w:val="24"/>
          <w:szCs w:val="24"/>
        </w:rPr>
        <w:t>（计算数据</w:t>
      </w:r>
      <w:r>
        <w:rPr>
          <w:rFonts w:hint="eastAsia"/>
          <w:b/>
          <w:sz w:val="24"/>
          <w:szCs w:val="24"/>
          <w:lang w:eastAsia="zh-CN"/>
        </w:rPr>
        <w:t>与</w:t>
      </w:r>
      <w:r>
        <w:rPr>
          <w:rFonts w:hint="eastAsia"/>
          <w:b/>
          <w:sz w:val="24"/>
          <w:szCs w:val="24"/>
        </w:rPr>
        <w:t>分析理学硕士）</w:t>
      </w:r>
    </w:p>
    <w:p>
      <w:pPr>
        <w:jc w:val="center"/>
        <w:rPr>
          <w:b/>
          <w:sz w:val="24"/>
          <w:szCs w:val="24"/>
        </w:rPr>
      </w:pPr>
    </w:p>
    <w:p>
      <w:pPr>
        <w:rPr>
          <w:b/>
          <w:u w:val="single"/>
        </w:rPr>
      </w:pPr>
      <w:r>
        <w:rPr>
          <w:rFonts w:hint="eastAsia"/>
          <w:b/>
          <w:u w:val="single"/>
          <w:lang w:eastAsia="zh-CN"/>
        </w:rPr>
        <w:t>【</w:t>
      </w:r>
      <w:r>
        <w:rPr>
          <w:rFonts w:hint="eastAsia"/>
          <w:b/>
          <w:u w:val="single"/>
        </w:rPr>
        <w:t>项目框架</w:t>
      </w:r>
      <w:r>
        <w:rPr>
          <w:rFonts w:hint="eastAsia"/>
          <w:b/>
          <w:u w:val="single"/>
          <w:lang w:eastAsia="zh-CN"/>
        </w:rPr>
        <w:t>】</w:t>
      </w:r>
    </w:p>
    <w:p>
      <w:pPr/>
      <w:r>
        <w:rPr>
          <w:rFonts w:hint="eastAsia"/>
        </w:rPr>
        <w:t>“</w:t>
      </w:r>
      <w:r>
        <w:t>3</w:t>
      </w:r>
      <w:r>
        <w:rPr>
          <w:rFonts w:hint="eastAsia"/>
        </w:rPr>
        <w:t>”：</w:t>
      </w:r>
      <w:r>
        <w:rPr>
          <w:rFonts w:hint="eastAsia"/>
          <w:lang w:eastAsia="zh-CN"/>
        </w:rPr>
        <w:t>东莞理工学院</w:t>
      </w:r>
      <w:r>
        <w:rPr>
          <w:rFonts w:hint="eastAsia"/>
          <w:b/>
          <w:bCs/>
          <w:lang w:eastAsia="zh-CN"/>
        </w:rPr>
        <w:t>计算机学院专业</w:t>
      </w:r>
      <w:r>
        <w:rPr>
          <w:rFonts w:hint="eastAsia"/>
        </w:rPr>
        <w:t>本科三年的课程学习</w:t>
      </w:r>
    </w:p>
    <w:p>
      <w:pPr/>
      <w:r>
        <w:rPr>
          <w:rFonts w:hint="eastAsia"/>
        </w:rPr>
        <w:t>“</w:t>
      </w:r>
      <w:r>
        <w:t>+1</w:t>
      </w:r>
      <w:r>
        <w:rPr>
          <w:rFonts w:hint="eastAsia"/>
        </w:rPr>
        <w:t>”：圣玛丽大学一年预备课程，</w:t>
      </w:r>
      <w:r>
        <w:t xml:space="preserve"> </w:t>
      </w:r>
      <w:r>
        <w:rPr>
          <w:rFonts w:hint="eastAsia"/>
        </w:rPr>
        <w:t>包含：</w:t>
      </w:r>
    </w:p>
    <w:p>
      <w:pPr>
        <w:pStyle w:val="4"/>
        <w:numPr>
          <w:ilvl w:val="0"/>
          <w:numId w:val="1"/>
        </w:numPr>
      </w:pPr>
      <w:r>
        <w:rPr>
          <w:rFonts w:hint="eastAsia"/>
        </w:rPr>
        <w:t>第一学期：语言强化训练</w:t>
      </w:r>
      <w:r>
        <w:t>+</w:t>
      </w:r>
      <w:r>
        <w:rPr>
          <w:rFonts w:hint="eastAsia"/>
        </w:rPr>
        <w:t>两门本科专业课程（具体课程由硕士项目主任评估后推荐）</w:t>
      </w:r>
    </w:p>
    <w:p>
      <w:pPr>
        <w:pStyle w:val="4"/>
        <w:numPr>
          <w:ilvl w:val="0"/>
          <w:numId w:val="1"/>
        </w:numPr>
      </w:pPr>
      <w:r>
        <w:rPr>
          <w:rFonts w:hint="eastAsia"/>
        </w:rPr>
        <w:t>第二学期：语言强化训练</w:t>
      </w:r>
      <w:r>
        <w:t>+</w:t>
      </w:r>
      <w:r>
        <w:rPr>
          <w:rFonts w:hint="eastAsia"/>
        </w:rPr>
        <w:t>一门硕士阶段课程（具体课程由硕士项目主任评估后安排）</w:t>
      </w:r>
    </w:p>
    <w:p>
      <w:pPr>
        <w:pStyle w:val="4"/>
      </w:pPr>
      <w:r>
        <w:rPr>
          <w:rFonts w:hint="eastAsia"/>
        </w:rPr>
        <w:t>如学生需要国内毕业所需的论文，项目主任将安排开设特别项目课程，指导学生完成本科毕业论文。</w:t>
      </w:r>
    </w:p>
    <w:p>
      <w:pPr>
        <w:pStyle w:val="4"/>
      </w:pPr>
    </w:p>
    <w:p>
      <w:pPr>
        <w:pStyle w:val="4"/>
      </w:pPr>
      <w:r>
        <w:rPr>
          <w:rFonts w:hint="eastAsia"/>
        </w:rPr>
        <w:t>结束本阶段学习后学生将获得圣玛丽大学的结业证书和国内大学的本科学位（由国内大学评审后决定授予）。</w:t>
      </w:r>
    </w:p>
    <w:p>
      <w:pPr/>
      <w:r>
        <w:rPr>
          <w:rFonts w:hint="eastAsia"/>
        </w:rPr>
        <w:t>“</w:t>
      </w:r>
      <w:r>
        <w:t>+1</w:t>
      </w:r>
      <w:r>
        <w:rPr>
          <w:rFonts w:hint="eastAsia"/>
        </w:rPr>
        <w:t>”：圣玛丽大学一学年共</w:t>
      </w:r>
      <w:r>
        <w:t>16</w:t>
      </w:r>
      <w:r>
        <w:rPr>
          <w:rFonts w:hint="eastAsia"/>
        </w:rPr>
        <w:t>个月计算数据</w:t>
      </w:r>
      <w:r>
        <w:rPr>
          <w:rFonts w:hint="eastAsia"/>
          <w:lang w:eastAsia="zh-CN"/>
        </w:rPr>
        <w:t>与</w:t>
      </w:r>
      <w:r>
        <w:rPr>
          <w:rFonts w:hint="eastAsia"/>
        </w:rPr>
        <w:t>分析理学硕士课程，包含：</w:t>
      </w:r>
    </w:p>
    <w:p>
      <w:pPr>
        <w:pStyle w:val="4"/>
        <w:numPr>
          <w:ilvl w:val="0"/>
          <w:numId w:val="2"/>
        </w:numPr>
      </w:pPr>
      <w:r>
        <w:rPr>
          <w:rFonts w:hint="eastAsia"/>
        </w:rPr>
        <w:t>第一个</w:t>
      </w:r>
      <w:r>
        <w:t>8</w:t>
      </w:r>
      <w:r>
        <w:rPr>
          <w:rFonts w:hint="eastAsia"/>
        </w:rPr>
        <w:t>个月：课堂学习，共</w:t>
      </w:r>
      <w:r>
        <w:t>8</w:t>
      </w:r>
      <w:r>
        <w:rPr>
          <w:rFonts w:hint="eastAsia"/>
        </w:rPr>
        <w:t>门课（或</w:t>
      </w:r>
      <w:r>
        <w:t>7</w:t>
      </w:r>
      <w:r>
        <w:rPr>
          <w:rFonts w:hint="eastAsia"/>
        </w:rPr>
        <w:t>门，如果第一个</w:t>
      </w:r>
      <w:r>
        <w:t>1</w:t>
      </w:r>
      <w:r>
        <w:rPr>
          <w:rFonts w:hint="eastAsia"/>
        </w:rPr>
        <w:t>年完成了一门硕士阶段的课。</w:t>
      </w:r>
    </w:p>
    <w:p>
      <w:pPr>
        <w:pStyle w:val="4"/>
        <w:numPr>
          <w:ilvl w:val="0"/>
          <w:numId w:val="2"/>
        </w:numPr>
      </w:pPr>
      <w:r>
        <w:rPr>
          <w:rFonts w:hint="eastAsia"/>
        </w:rPr>
        <w:t>第二个</w:t>
      </w:r>
      <w:r>
        <w:t>8</w:t>
      </w:r>
      <w:r>
        <w:rPr>
          <w:rFonts w:hint="eastAsia"/>
        </w:rPr>
        <w:t>个月：学生可选择参加一个项目、撰写论文或带薪实习。</w:t>
      </w:r>
    </w:p>
    <w:p>
      <w:pPr>
        <w:pStyle w:val="4"/>
      </w:pPr>
    </w:p>
    <w:p>
      <w:pPr>
        <w:pStyle w:val="4"/>
      </w:pPr>
      <w:r>
        <w:rPr>
          <w:rFonts w:hint="eastAsia"/>
        </w:rPr>
        <w:t>结束本阶段学习后学生将获得圣玛丽大学的计算数据</w:t>
      </w:r>
      <w:r>
        <w:rPr>
          <w:rFonts w:hint="eastAsia"/>
          <w:lang w:eastAsia="zh-CN"/>
        </w:rPr>
        <w:t>与</w:t>
      </w:r>
      <w:r>
        <w:rPr>
          <w:rFonts w:hint="eastAsia"/>
        </w:rPr>
        <w:t>分析理学硕士学位。</w:t>
      </w:r>
    </w:p>
    <w:p>
      <w:pPr/>
      <w:r>
        <w:rPr>
          <w:rFonts w:hint="eastAsia"/>
          <w:b/>
          <w:u w:val="single"/>
          <w:lang w:eastAsia="zh-CN"/>
        </w:rPr>
        <w:t>【</w:t>
      </w:r>
      <w:r>
        <w:rPr>
          <w:rFonts w:hint="eastAsia"/>
          <w:b/>
          <w:u w:val="single"/>
        </w:rPr>
        <w:t>录取要求</w:t>
      </w:r>
      <w:r>
        <w:rPr>
          <w:rFonts w:hint="eastAsia"/>
          <w:b/>
          <w:u w:val="single"/>
          <w:lang w:eastAsia="zh-CN"/>
        </w:rPr>
        <w:t>】</w:t>
      </w:r>
      <w:r>
        <w:rPr>
          <w:rFonts w:hint="eastAsia"/>
        </w:rPr>
        <w:t>：</w:t>
      </w:r>
    </w:p>
    <w:p>
      <w:pPr>
        <w:pStyle w:val="4"/>
        <w:numPr>
          <w:ilvl w:val="0"/>
          <w:numId w:val="3"/>
        </w:numPr>
        <w:rPr>
          <w:b/>
          <w:bCs/>
          <w:color w:val="auto"/>
        </w:rPr>
      </w:pPr>
      <w:r>
        <w:rPr>
          <w:rFonts w:hint="eastAsia"/>
          <w:b/>
          <w:bCs/>
          <w:color w:val="auto"/>
        </w:rPr>
        <w:t>国内阶段的课程考试成绩</w:t>
      </w:r>
      <w:r>
        <w:rPr>
          <w:b/>
          <w:bCs/>
          <w:color w:val="auto"/>
        </w:rPr>
        <w:t>GPA(</w:t>
      </w:r>
      <w:r>
        <w:rPr>
          <w:rFonts w:hint="eastAsia"/>
          <w:b/>
          <w:bCs/>
          <w:color w:val="auto"/>
        </w:rPr>
        <w:t>绩点</w:t>
      </w:r>
      <w:r>
        <w:rPr>
          <w:b/>
          <w:bCs/>
          <w:color w:val="auto"/>
        </w:rPr>
        <w:t>)</w:t>
      </w:r>
      <w:r>
        <w:rPr>
          <w:rFonts w:hint="eastAsia"/>
          <w:b/>
          <w:bCs/>
          <w:color w:val="auto"/>
        </w:rPr>
        <w:t>不低于</w:t>
      </w:r>
      <w:r>
        <w:rPr>
          <w:b/>
          <w:bCs/>
          <w:color w:val="auto"/>
        </w:rPr>
        <w:t>3.0</w:t>
      </w:r>
    </w:p>
    <w:p>
      <w:pPr>
        <w:pStyle w:val="4"/>
        <w:numPr>
          <w:ilvl w:val="0"/>
          <w:numId w:val="3"/>
        </w:numPr>
        <w:rPr>
          <w:b/>
          <w:bCs/>
        </w:rPr>
      </w:pPr>
      <w:r>
        <w:rPr>
          <w:rFonts w:hint="eastAsia"/>
          <w:b/>
          <w:bCs/>
        </w:rPr>
        <w:t>进入圣玛丽大学第一个“</w:t>
      </w:r>
      <w:r>
        <w:rPr>
          <w:b/>
          <w:bCs/>
        </w:rPr>
        <w:t>+1</w:t>
      </w:r>
      <w:r>
        <w:rPr>
          <w:rFonts w:hint="eastAsia"/>
          <w:b/>
          <w:bCs/>
        </w:rPr>
        <w:t>”阶段学期学生的</w:t>
      </w:r>
      <w:r>
        <w:rPr>
          <w:b/>
          <w:bCs/>
        </w:rPr>
        <w:t>IELTS</w:t>
      </w:r>
      <w:r>
        <w:rPr>
          <w:rFonts w:hint="eastAsia"/>
          <w:b/>
          <w:bCs/>
        </w:rPr>
        <w:t>成绩不低于</w:t>
      </w:r>
      <w:r>
        <w:rPr>
          <w:b/>
          <w:bCs/>
        </w:rPr>
        <w:t>5.5</w:t>
      </w:r>
      <w:r>
        <w:rPr>
          <w:rFonts w:hint="eastAsia"/>
          <w:b/>
          <w:bCs/>
        </w:rPr>
        <w:t>，单项不低于</w:t>
      </w:r>
      <w:r>
        <w:rPr>
          <w:b/>
          <w:bCs/>
        </w:rPr>
        <w:t>5.0</w:t>
      </w:r>
    </w:p>
    <w:p>
      <w:pPr>
        <w:pStyle w:val="4"/>
        <w:numPr>
          <w:ilvl w:val="0"/>
          <w:numId w:val="3"/>
        </w:numPr>
        <w:rPr>
          <w:color w:val="auto"/>
        </w:rPr>
      </w:pPr>
      <w:r>
        <w:rPr>
          <w:rFonts w:hint="eastAsia"/>
        </w:rPr>
        <w:t>在圣玛丽大学第一个“</w:t>
      </w:r>
      <w:r>
        <w:t>+1</w:t>
      </w:r>
      <w:r>
        <w:rPr>
          <w:rFonts w:hint="eastAsia"/>
        </w:rPr>
        <w:t>”阶段的专业</w:t>
      </w:r>
      <w:r>
        <w:rPr>
          <w:rFonts w:hint="eastAsia"/>
          <w:color w:val="auto"/>
        </w:rPr>
        <w:t>课程绩点不低于</w:t>
      </w:r>
      <w:r>
        <w:rPr>
          <w:color w:val="auto"/>
        </w:rPr>
        <w:t>3.0</w:t>
      </w:r>
    </w:p>
    <w:p>
      <w:pPr>
        <w:pStyle w:val="4"/>
        <w:numPr>
          <w:ilvl w:val="0"/>
          <w:numId w:val="3"/>
        </w:numPr>
      </w:pPr>
      <w:r>
        <w:rPr>
          <w:rFonts w:hint="eastAsia"/>
        </w:rPr>
        <w:t>在圣玛丽大学第一个“</w:t>
      </w:r>
      <w:r>
        <w:t>+1</w:t>
      </w:r>
      <w:r>
        <w:rPr>
          <w:rFonts w:hint="eastAsia"/>
        </w:rPr>
        <w:t>”阶段的英语培训课程达到</w:t>
      </w:r>
      <w:r>
        <w:t>EAP 6</w:t>
      </w:r>
      <w:r>
        <w:rPr>
          <w:rFonts w:hint="eastAsia"/>
        </w:rPr>
        <w:t>级</w:t>
      </w:r>
      <w:r>
        <w:rPr>
          <w:rFonts w:hint="eastAsia"/>
          <w:lang w:eastAsia="zh-CN"/>
        </w:rPr>
        <w:t>（相当于雅思</w:t>
      </w:r>
      <w:r>
        <w:rPr>
          <w:rFonts w:hint="eastAsia"/>
          <w:lang w:val="en-US" w:eastAsia="zh-CN"/>
        </w:rPr>
        <w:t>6.5，单项不低于6.0的成绩</w:t>
      </w:r>
      <w:r>
        <w:rPr>
          <w:rFonts w:hint="eastAsia"/>
          <w:lang w:eastAsia="zh-CN"/>
        </w:rPr>
        <w:t>）</w:t>
      </w:r>
    </w:p>
    <w:p>
      <w:pPr>
        <w:pStyle w:val="4"/>
        <w:numPr>
          <w:ilvl w:val="0"/>
          <w:numId w:val="3"/>
        </w:numPr>
      </w:pPr>
      <w:r>
        <w:rPr>
          <w:rFonts w:hint="eastAsia"/>
        </w:rPr>
        <w:t>通过编程考试</w:t>
      </w:r>
      <w:r>
        <w:rPr>
          <w:rFonts w:hint="eastAsia"/>
          <w:lang w:eastAsia="zh-CN"/>
        </w:rPr>
        <w:t>，成绩不低于</w:t>
      </w:r>
      <w:r>
        <w:rPr>
          <w:rFonts w:hint="eastAsia"/>
          <w:lang w:val="en-US" w:eastAsia="zh-CN"/>
        </w:rPr>
        <w:t>70分</w:t>
      </w:r>
      <w:r>
        <w:rPr>
          <w:rFonts w:hint="eastAsia"/>
        </w:rPr>
        <w:t>（参加本项目的学生由项目主任评估后可免除本考试）</w:t>
      </w:r>
    </w:p>
    <w:p>
      <w:pPr/>
      <w:r>
        <w:rPr>
          <w:rFonts w:hint="eastAsia"/>
          <w:b/>
          <w:u w:val="single"/>
          <w:lang w:eastAsia="zh-CN"/>
        </w:rPr>
        <w:t>【</w:t>
      </w:r>
      <w:r>
        <w:rPr>
          <w:rFonts w:hint="eastAsia"/>
          <w:b/>
          <w:u w:val="single"/>
        </w:rPr>
        <w:t>录取</w:t>
      </w:r>
      <w:r>
        <w:rPr>
          <w:rFonts w:hint="eastAsia"/>
          <w:b/>
          <w:u w:val="single"/>
          <w:lang w:eastAsia="zh-CN"/>
        </w:rPr>
        <w:t>】</w:t>
      </w:r>
      <w:r>
        <w:rPr>
          <w:rFonts w:hint="eastAsia"/>
        </w:rPr>
        <w:t>：</w:t>
      </w:r>
    </w:p>
    <w:p>
      <w:pPr>
        <w:pStyle w:val="4"/>
        <w:numPr>
          <w:ilvl w:val="0"/>
          <w:numId w:val="4"/>
        </w:numPr>
      </w:pPr>
      <w:r>
        <w:rPr>
          <w:rFonts w:hint="eastAsia"/>
        </w:rPr>
        <w:t>学生在进入第一个“</w:t>
      </w:r>
      <w:r>
        <w:t>+1</w:t>
      </w:r>
      <w:r>
        <w:rPr>
          <w:rFonts w:hint="eastAsia"/>
        </w:rPr>
        <w:t>”阶段前将获得本科访问学生录取和计算数据</w:t>
      </w:r>
      <w:r>
        <w:rPr>
          <w:rFonts w:hint="eastAsia"/>
          <w:lang w:eastAsia="zh-CN"/>
        </w:rPr>
        <w:t>与分析</w:t>
      </w:r>
      <w:r>
        <w:rPr>
          <w:rFonts w:hint="eastAsia"/>
        </w:rPr>
        <w:t>理学硕士项目的有条件录取。</w:t>
      </w:r>
    </w:p>
    <w:p>
      <w:pPr>
        <w:pStyle w:val="4"/>
        <w:numPr>
          <w:ilvl w:val="0"/>
          <w:numId w:val="4"/>
        </w:numPr>
      </w:pPr>
      <w:r>
        <w:rPr>
          <w:rFonts w:hint="eastAsia"/>
        </w:rPr>
        <w:t>学生在完成第一个“</w:t>
      </w:r>
      <w:r>
        <w:t>+1</w:t>
      </w:r>
      <w:r>
        <w:rPr>
          <w:rFonts w:hint="eastAsia"/>
        </w:rPr>
        <w:t>”阶段学习后通过评审后将获得硕士课程无条件录取的确认并于当年九月进入硕士课程学习。</w:t>
      </w:r>
      <w:r>
        <w:t xml:space="preserve"> </w:t>
      </w:r>
    </w:p>
    <w:p>
      <w:pPr/>
      <w:r>
        <w:rPr>
          <w:rFonts w:hint="eastAsia"/>
          <w:b/>
          <w:u w:val="single"/>
          <w:lang w:eastAsia="zh-CN"/>
        </w:rPr>
        <w:t>【国外</w:t>
      </w:r>
      <w:r>
        <w:rPr>
          <w:rFonts w:hint="eastAsia"/>
          <w:b/>
          <w:u w:val="single"/>
        </w:rPr>
        <w:t>费用</w:t>
      </w:r>
      <w:r>
        <w:rPr>
          <w:rFonts w:hint="eastAsia"/>
          <w:b/>
          <w:u w:val="single"/>
          <w:lang w:eastAsia="zh-CN"/>
        </w:rPr>
        <w:t>】</w:t>
      </w:r>
      <w:r>
        <w:rPr>
          <w:rFonts w:hint="eastAsia"/>
        </w:rPr>
        <w:t>：</w:t>
      </w:r>
      <w:r>
        <w:rPr>
          <w:rFonts w:hint="eastAsia"/>
          <w:lang w:eastAsia="zh-CN"/>
        </w:rPr>
        <w:t>（以当年为准）</w:t>
      </w:r>
    </w:p>
    <w:p>
      <w:pPr>
        <w:pStyle w:val="4"/>
        <w:numPr>
          <w:ilvl w:val="0"/>
          <w:numId w:val="5"/>
        </w:numPr>
      </w:pPr>
      <w:r>
        <w:rPr>
          <w:rFonts w:hint="eastAsia"/>
        </w:rPr>
        <w:t>语言强化课程：</w:t>
      </w:r>
      <w:r>
        <w:t>4200</w:t>
      </w:r>
      <w:r>
        <w:rPr>
          <w:rFonts w:hint="eastAsia"/>
          <w:lang w:eastAsia="zh-CN"/>
        </w:rPr>
        <w:t>加币</w:t>
      </w:r>
      <w:r>
        <w:t>/</w:t>
      </w:r>
      <w:r>
        <w:rPr>
          <w:rFonts w:hint="eastAsia"/>
        </w:rPr>
        <w:t>学期</w:t>
      </w:r>
    </w:p>
    <w:p>
      <w:pPr>
        <w:pStyle w:val="4"/>
        <w:numPr>
          <w:ilvl w:val="0"/>
          <w:numId w:val="5"/>
        </w:numPr>
      </w:pPr>
      <w:r>
        <w:rPr>
          <w:rFonts w:hint="eastAsia"/>
        </w:rPr>
        <w:t>本科课程：</w:t>
      </w:r>
      <w:r>
        <w:t>1603</w:t>
      </w:r>
      <w:r>
        <w:rPr>
          <w:rFonts w:hint="eastAsia"/>
          <w:lang w:eastAsia="zh-CN"/>
        </w:rPr>
        <w:t>加币</w:t>
      </w:r>
      <w:r>
        <w:t>/</w:t>
      </w:r>
      <w:r>
        <w:rPr>
          <w:rFonts w:hint="eastAsia"/>
        </w:rPr>
        <w:t>课</w:t>
      </w:r>
    </w:p>
    <w:p>
      <w:pPr>
        <w:pStyle w:val="4"/>
        <w:numPr>
          <w:ilvl w:val="0"/>
          <w:numId w:val="5"/>
        </w:numPr>
      </w:pPr>
      <w:r>
        <w:rPr>
          <w:rFonts w:hint="eastAsia"/>
        </w:rPr>
        <w:t>硕士课程学费：</w:t>
      </w:r>
      <w:r>
        <w:t>33000</w:t>
      </w:r>
      <w:r>
        <w:rPr>
          <w:rFonts w:hint="eastAsia"/>
          <w:lang w:eastAsia="zh-CN"/>
        </w:rPr>
        <w:t>加币</w:t>
      </w:r>
    </w:p>
    <w:p>
      <w:pPr>
        <w:pStyle w:val="4"/>
        <w:numPr>
          <w:ilvl w:val="0"/>
          <w:numId w:val="5"/>
        </w:numPr>
      </w:pPr>
      <w:r>
        <w:rPr>
          <w:rFonts w:hint="eastAsia"/>
          <w:lang w:eastAsia="zh-CN"/>
        </w:rPr>
        <w:t>生活费：</w:t>
      </w:r>
      <w:r>
        <w:rPr>
          <w:rFonts w:hint="eastAsia"/>
          <w:lang w:val="en-US" w:eastAsia="zh-CN"/>
        </w:rPr>
        <w:t>10000加币/学年</w:t>
      </w:r>
    </w:p>
    <w:p>
      <w:pPr/>
      <w:r>
        <w:t xml:space="preserve"> </w:t>
      </w:r>
      <w:r>
        <w:rPr>
          <w:rFonts w:hint="eastAsia"/>
          <w:lang w:eastAsia="zh-CN"/>
        </w:rPr>
        <w:t>【</w:t>
      </w:r>
      <w:r>
        <w:rPr>
          <w:rFonts w:hint="eastAsia"/>
          <w:b/>
          <w:u w:val="single"/>
        </w:rPr>
        <w:t>带薪实习</w:t>
      </w:r>
      <w:r>
        <w:rPr>
          <w:rFonts w:hint="eastAsia"/>
          <w:b/>
          <w:u w:val="single"/>
          <w:lang w:eastAsia="zh-CN"/>
        </w:rPr>
        <w:t>】</w:t>
      </w:r>
      <w:r>
        <w:rPr>
          <w:rFonts w:hint="eastAsia"/>
        </w:rPr>
        <w:t>：</w:t>
      </w:r>
    </w:p>
    <w:p>
      <w:pPr>
        <w:rPr>
          <w:color w:val="FF0000"/>
        </w:rPr>
      </w:pPr>
      <w:r>
        <w:rPr>
          <w:rFonts w:hint="eastAsia"/>
        </w:rPr>
        <w:t>每小时工资一般为</w:t>
      </w:r>
      <w:r>
        <w:t xml:space="preserve">$15-20, </w:t>
      </w:r>
      <w:r>
        <w:rPr>
          <w:rFonts w:hint="eastAsia"/>
        </w:rPr>
        <w:t>每周预计可工作</w:t>
      </w:r>
      <w:r>
        <w:t>40</w:t>
      </w:r>
      <w:r>
        <w:rPr>
          <w:rFonts w:hint="eastAsia"/>
        </w:rPr>
        <w:t>小时。</w:t>
      </w:r>
      <w:r>
        <w:t xml:space="preserve"> </w:t>
      </w:r>
    </w:p>
    <w:p>
      <w:pPr>
        <w:rPr>
          <w:b/>
          <w:color w:val="auto"/>
          <w:u w:val="single"/>
        </w:rPr>
      </w:pPr>
      <w:r>
        <w:rPr>
          <w:rFonts w:hint="eastAsia"/>
          <w:b/>
          <w:color w:val="auto"/>
          <w:u w:val="single"/>
          <w:lang w:eastAsia="zh-CN"/>
        </w:rPr>
        <w:t>【</w:t>
      </w:r>
      <w:r>
        <w:rPr>
          <w:rFonts w:hint="eastAsia"/>
          <w:b/>
          <w:color w:val="auto"/>
          <w:u w:val="single"/>
        </w:rPr>
        <w:t>项目优势</w:t>
      </w:r>
      <w:r>
        <w:rPr>
          <w:rFonts w:hint="eastAsia"/>
          <w:b/>
          <w:color w:val="auto"/>
          <w:u w:val="single"/>
          <w:lang w:eastAsia="zh-CN"/>
        </w:rPr>
        <w:t>】</w:t>
      </w:r>
      <w:r>
        <w:rPr>
          <w:rFonts w:hint="eastAsia"/>
          <w:b/>
          <w:color w:val="auto"/>
        </w:rPr>
        <w:t>：</w:t>
      </w:r>
    </w:p>
    <w:p>
      <w:pPr>
        <w:pStyle w:val="4"/>
        <w:numPr>
          <w:ilvl w:val="0"/>
          <w:numId w:val="1"/>
        </w:numPr>
        <w:rPr>
          <w:color w:val="auto"/>
        </w:rPr>
      </w:pPr>
      <w:r>
        <w:rPr>
          <w:rFonts w:hint="eastAsia"/>
          <w:color w:val="auto"/>
        </w:rPr>
        <w:t>获取高需行业认可的硕士学位证书。</w:t>
      </w:r>
    </w:p>
    <w:p>
      <w:pPr>
        <w:pStyle w:val="4"/>
        <w:numPr>
          <w:ilvl w:val="0"/>
          <w:numId w:val="1"/>
        </w:numPr>
        <w:rPr>
          <w:color w:val="auto"/>
        </w:rPr>
      </w:pPr>
      <w:r>
        <w:rPr>
          <w:rFonts w:hint="eastAsia"/>
          <w:color w:val="auto"/>
        </w:rPr>
        <w:t>选择灵活且多样化：</w:t>
      </w:r>
    </w:p>
    <w:p>
      <w:pPr>
        <w:pStyle w:val="4"/>
        <w:ind w:left="360"/>
        <w:rPr>
          <w:color w:val="auto"/>
        </w:rPr>
      </w:pPr>
      <w:r>
        <w:rPr>
          <w:color w:val="auto"/>
        </w:rPr>
        <w:t xml:space="preserve">        *</w:t>
      </w:r>
      <w:r>
        <w:rPr>
          <w:rFonts w:hint="eastAsia"/>
          <w:color w:val="auto"/>
        </w:rPr>
        <w:t>完成</w:t>
      </w:r>
      <w:r>
        <w:rPr>
          <w:color w:val="auto"/>
        </w:rPr>
        <w:t>8</w:t>
      </w:r>
      <w:r>
        <w:rPr>
          <w:rFonts w:hint="eastAsia"/>
          <w:color w:val="auto"/>
        </w:rPr>
        <w:t>个月的理论课程后，可选择进入企业中参加为期</w:t>
      </w:r>
      <w:r>
        <w:rPr>
          <w:color w:val="auto"/>
        </w:rPr>
        <w:t>8</w:t>
      </w:r>
      <w:r>
        <w:rPr>
          <w:rFonts w:hint="eastAsia"/>
          <w:color w:val="auto"/>
        </w:rPr>
        <w:t>个月的带薪实习，便可顺利毕业。</w:t>
      </w:r>
    </w:p>
    <w:p>
      <w:pPr>
        <w:pStyle w:val="4"/>
        <w:ind w:left="360"/>
        <w:rPr>
          <w:color w:val="auto"/>
        </w:rPr>
      </w:pPr>
      <w:r>
        <w:rPr>
          <w:color w:val="auto"/>
        </w:rPr>
        <w:t xml:space="preserve">        *</w:t>
      </w:r>
      <w:r>
        <w:rPr>
          <w:rFonts w:hint="eastAsia"/>
          <w:color w:val="auto"/>
        </w:rPr>
        <w:t>在低压力低强度的环境下学习，学生亦可通过选择撰写论文或开展研究项目完成学业。</w:t>
      </w:r>
    </w:p>
    <w:p>
      <w:pPr>
        <w:pStyle w:val="4"/>
        <w:numPr>
          <w:ilvl w:val="0"/>
          <w:numId w:val="1"/>
        </w:numPr>
        <w:rPr>
          <w:color w:val="auto"/>
        </w:rPr>
      </w:pPr>
      <w:r>
        <w:rPr>
          <w:rFonts w:hint="eastAsia"/>
          <w:color w:val="auto"/>
        </w:rPr>
        <w:t>学校配备常驻教员与专业实习顾问。</w:t>
      </w:r>
    </w:p>
    <w:p>
      <w:pPr>
        <w:pStyle w:val="4"/>
        <w:numPr>
          <w:ilvl w:val="0"/>
          <w:numId w:val="1"/>
        </w:numPr>
        <w:rPr>
          <w:color w:val="auto"/>
        </w:rPr>
      </w:pPr>
      <w:r>
        <w:rPr>
          <w:rFonts w:hint="eastAsia"/>
          <w:color w:val="auto"/>
          <w:lang w:eastAsia="zh-CN"/>
        </w:rPr>
        <w:t>圣玛丽大学是加拿大东岸的</w:t>
      </w:r>
      <w:r>
        <w:rPr>
          <w:rFonts w:hint="eastAsia"/>
          <w:color w:val="auto"/>
          <w:lang w:val="en-US" w:eastAsia="zh-CN"/>
        </w:rPr>
        <w:t>IT中心。</w:t>
      </w:r>
    </w:p>
    <w:p>
      <w:pPr>
        <w:pStyle w:val="4"/>
        <w:numPr>
          <w:ilvl w:val="0"/>
          <w:numId w:val="1"/>
        </w:numPr>
        <w:rPr>
          <w:color w:val="auto"/>
        </w:rPr>
      </w:pPr>
      <w:r>
        <w:rPr>
          <w:rFonts w:hint="eastAsia"/>
          <w:color w:val="auto"/>
        </w:rPr>
        <w:t>学校地理位置优越。</w:t>
      </w:r>
      <w:r>
        <w:rPr>
          <w:rFonts w:hint="eastAsia"/>
          <w:color w:val="auto"/>
          <w:lang w:eastAsia="zh-CN"/>
        </w:rPr>
        <w:t>圣玛丽大学所在的</w:t>
      </w:r>
      <w:r>
        <w:rPr>
          <w:rFonts w:hint="eastAsia"/>
          <w:color w:val="auto"/>
        </w:rPr>
        <w:t>哈利法克斯市是大西洋</w:t>
      </w:r>
      <w:r>
        <w:rPr>
          <w:color w:val="auto"/>
        </w:rPr>
        <w:t>-</w:t>
      </w:r>
      <w:r>
        <w:rPr>
          <w:rFonts w:hint="eastAsia"/>
          <w:color w:val="auto"/>
        </w:rPr>
        <w:t>加拿大地区的商业、文化、娱乐中心所在，也是创新、投资这些新名词蓬勃发展的所在地。</w:t>
      </w:r>
      <w:r>
        <w:rPr>
          <w:color w:val="auto"/>
        </w:rPr>
        <w:t xml:space="preserve"> </w:t>
      </w:r>
      <w:r>
        <w:rPr>
          <w:rFonts w:hint="eastAsia"/>
          <w:color w:val="auto"/>
        </w:rPr>
        <w:t>IBM</w:t>
      </w:r>
      <w:r>
        <w:rPr>
          <w:rFonts w:hint="eastAsia"/>
          <w:color w:val="auto"/>
          <w:lang w:eastAsia="zh-CN"/>
        </w:rPr>
        <w:t>还</w:t>
      </w:r>
      <w:r>
        <w:rPr>
          <w:rFonts w:hint="eastAsia"/>
          <w:color w:val="auto"/>
        </w:rPr>
        <w:t>在</w:t>
      </w:r>
      <w:r>
        <w:rPr>
          <w:rFonts w:hint="eastAsia"/>
          <w:color w:val="auto"/>
          <w:lang w:eastAsia="zh-CN"/>
        </w:rPr>
        <w:t>哈利法克斯市</w:t>
      </w:r>
      <w:r>
        <w:rPr>
          <w:rFonts w:hint="eastAsia"/>
          <w:color w:val="auto"/>
        </w:rPr>
        <w:t>设立了全球分析中心</w:t>
      </w:r>
      <w:r>
        <w:rPr>
          <w:rFonts w:hint="eastAsia"/>
          <w:color w:val="auto"/>
          <w:lang w:eastAsia="zh-CN"/>
        </w:rPr>
        <w:t>。</w:t>
      </w:r>
    </w:p>
    <w:p>
      <w:pPr>
        <w:pStyle w:val="4"/>
        <w:numPr>
          <w:ilvl w:val="0"/>
          <w:numId w:val="0"/>
        </w:numPr>
        <w:rPr>
          <w:rFonts w:hint="eastAsia"/>
          <w:color w:val="auto"/>
          <w:lang w:eastAsia="zh-CN"/>
        </w:rPr>
      </w:pPr>
    </w:p>
    <w:p>
      <w:pPr>
        <w:pStyle w:val="4"/>
        <w:numPr>
          <w:ilvl w:val="0"/>
          <w:numId w:val="0"/>
        </w:numPr>
        <w:ind w:left="360" w:leftChars="0"/>
        <w:rPr>
          <w:rFonts w:hint="eastAsia"/>
          <w:color w:val="auto"/>
          <w:lang w:eastAsia="zh-CN"/>
        </w:rPr>
      </w:pPr>
    </w:p>
    <w:p>
      <w:pPr>
        <w:rPr>
          <w:rFonts w:hint="eastAsia" w:ascii="宋体" w:hAnsi="宋体" w:cs="宋体"/>
          <w:b/>
          <w:szCs w:val="21"/>
        </w:rPr>
      </w:pPr>
      <w:r>
        <w:rPr>
          <w:rFonts w:hint="eastAsia" w:ascii="宋体" w:hAnsi="宋体" w:cs="宋体"/>
          <w:b/>
          <w:szCs w:val="21"/>
        </w:rPr>
        <w:t>【入境前费用预算】</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申请费：1</w:t>
      </w:r>
      <w:r>
        <w:rPr>
          <w:rFonts w:hint="eastAsia" w:ascii="宋体" w:hAnsi="宋体" w:cs="宋体"/>
          <w:szCs w:val="21"/>
          <w:lang w:val="en-US" w:eastAsia="zh-CN"/>
        </w:rPr>
        <w:t>5</w:t>
      </w:r>
      <w:r>
        <w:rPr>
          <w:rFonts w:hint="eastAsia" w:ascii="宋体" w:hAnsi="宋体" w:cs="宋体"/>
          <w:szCs w:val="21"/>
        </w:rPr>
        <w:t>00元（折合人民币）（国外大学收取）</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签证费：</w:t>
      </w:r>
      <w:r>
        <w:rPr>
          <w:rFonts w:hint="eastAsia" w:ascii="宋体" w:hAnsi="宋体" w:cs="宋体"/>
          <w:szCs w:val="21"/>
          <w:lang w:val="en-US" w:eastAsia="zh-CN"/>
        </w:rPr>
        <w:t>890</w:t>
      </w:r>
      <w:r>
        <w:rPr>
          <w:rFonts w:hint="eastAsia" w:ascii="宋体" w:hAnsi="宋体" w:cs="宋体"/>
          <w:szCs w:val="21"/>
        </w:rPr>
        <w:t>人民币（加拿大签证中心收取）</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体检费：1700元人民币（由使馆指定体检医院收取）</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机票费（往返）：约10000元人民币（按实际支付，各航空公司收取）</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中国教育服务中心项目管理及签证服务费：人民币16000元（包括学校申请、转学分成绩认证服务、签证办理全过程服务以及材料翻译、获得签证后当地住宿接机申请、行前指导等全套服务）</w:t>
      </w:r>
      <w:r>
        <w:rPr>
          <w:rFonts w:hint="eastAsia" w:ascii="宋体" w:hAnsi="宋体" w:cs="宋体"/>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合计：约</w:t>
      </w:r>
      <w:r>
        <w:rPr>
          <w:rFonts w:hint="eastAsia" w:ascii="宋体" w:hAnsi="宋体" w:cs="宋体"/>
          <w:szCs w:val="21"/>
          <w:lang w:val="en-US" w:eastAsia="zh-CN"/>
        </w:rPr>
        <w:t>30</w:t>
      </w:r>
      <w:r>
        <w:rPr>
          <w:rFonts w:hint="eastAsia" w:ascii="宋体" w:hAnsi="宋体" w:cs="宋体"/>
          <w:szCs w:val="21"/>
        </w:rPr>
        <w:t>,</w:t>
      </w:r>
      <w:r>
        <w:rPr>
          <w:rFonts w:hint="eastAsia" w:ascii="宋体" w:hAnsi="宋体" w:cs="宋体"/>
          <w:szCs w:val="21"/>
          <w:lang w:val="en-US" w:eastAsia="zh-CN"/>
        </w:rPr>
        <w:t>090</w:t>
      </w:r>
      <w:r>
        <w:rPr>
          <w:rFonts w:hint="eastAsia" w:ascii="宋体" w:hAnsi="宋体" w:cs="宋体"/>
          <w:szCs w:val="21"/>
        </w:rPr>
        <w:t>人民币</w:t>
      </w:r>
    </w:p>
    <w:p>
      <w:pPr>
        <w:jc w:val="left"/>
        <w:rPr>
          <w:rFonts w:hint="eastAsia"/>
        </w:rPr>
      </w:pPr>
    </w:p>
    <w:p>
      <w:pPr>
        <w:jc w:val="left"/>
        <w:rPr>
          <w:rFonts w:hint="eastAsia"/>
          <w:b/>
          <w:bCs/>
          <w:lang w:val="de-DE"/>
        </w:rPr>
      </w:pPr>
      <w:r>
        <w:rPr>
          <w:rFonts w:hint="eastAsia"/>
          <w:b/>
          <w:bCs/>
          <w:lang w:val="de-DE"/>
        </w:rPr>
        <w:t>【报名方式】</w:t>
      </w:r>
    </w:p>
    <w:p>
      <w:pPr>
        <w:rPr>
          <w:rFonts w:hint="eastAsia"/>
        </w:rPr>
      </w:pPr>
      <w:r>
        <w:rPr>
          <w:rFonts w:hint="eastAsia" w:ascii="宋体" w:hAnsi="宋体" w:cs="宋体"/>
          <w:szCs w:val="21"/>
        </w:rPr>
        <w:t>向所在院系提交《东莞理工学院学生赴国（境）外学习交流报名表》，并在国际交流处报名及提交相应报名材料</w:t>
      </w:r>
    </w:p>
    <w:p>
      <w:pPr>
        <w:rPr>
          <w:rFonts w:hint="eastAsia" w:ascii="宋体" w:hAnsi="宋体"/>
          <w:b/>
          <w:szCs w:val="21"/>
        </w:rPr>
      </w:pPr>
      <w:r>
        <w:rPr>
          <w:rFonts w:hint="eastAsia" w:ascii="宋体" w:hAnsi="宋体"/>
          <w:b/>
          <w:szCs w:val="21"/>
        </w:rPr>
        <w:t>【通过校内选拔后，学生所需申请材料】</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1、护照首页复印件</w:t>
      </w:r>
      <w:bookmarkStart w:id="0" w:name="_GoBack"/>
      <w:bookmarkEnd w:id="0"/>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2、成绩单（中英文）原件</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eastAsia" w:ascii="宋体" w:hAnsi="宋体" w:cs="宋体"/>
          <w:szCs w:val="21"/>
        </w:rPr>
      </w:pPr>
      <w:r>
        <w:rPr>
          <w:rFonts w:hint="eastAsia" w:ascii="宋体" w:hAnsi="宋体" w:cs="宋体"/>
          <w:szCs w:val="21"/>
        </w:rPr>
        <w:t>3、在读证明（中英文）原件</w:t>
      </w:r>
    </w:p>
    <w:p>
      <w:pPr>
        <w:jc w:val="left"/>
        <w:rPr>
          <w:rFonts w:hint="eastAsia"/>
          <w:b/>
          <w:bCs/>
          <w:lang w:val="de-DE"/>
        </w:rPr>
      </w:pPr>
    </w:p>
    <w:p>
      <w:pPr>
        <w:jc w:val="left"/>
        <w:rPr>
          <w:rFonts w:hint="eastAsia"/>
          <w:b/>
          <w:bCs/>
          <w:lang w:val="de-DE"/>
        </w:rPr>
      </w:pPr>
    </w:p>
    <w:p>
      <w:pPr>
        <w:pStyle w:val="4"/>
        <w:numPr>
          <w:ilvl w:val="0"/>
          <w:numId w:val="0"/>
        </w:numPr>
        <w:ind w:left="360" w:leftChars="0"/>
        <w:rPr>
          <w:rFonts w:hint="eastAsia"/>
          <w:color w:val="auto"/>
          <w:lang w:eastAsia="zh-CN"/>
        </w:rPr>
      </w:pPr>
    </w:p>
    <w:p>
      <w:pPr>
        <w:rPr>
          <w:color w:val="FF0000"/>
        </w:rPr>
      </w:pPr>
    </w:p>
    <w:sectPr>
      <w:pgSz w:w="12240" w:h="15840"/>
      <w:pgMar w:top="1134"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roma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等线">
    <w:altName w:val="宋体"/>
    <w:panose1 w:val="00000000000000000000"/>
    <w:charset w:val="86"/>
    <w:family w:val="roman"/>
    <w:pitch w:val="default"/>
    <w:sig w:usb0="00000000" w:usb1="00000000" w:usb2="00000010" w:usb3="00000000" w:csb0="00040000" w:csb1="00000000"/>
  </w:font>
  <w:font w:name="等线">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swiss"/>
    <w:pitch w:val="default"/>
    <w:sig w:usb0="00007A87" w:usb1="80000000" w:usb2="00000008" w:usb3="00000000" w:csb0="400001FF" w:csb1="FFFF0000"/>
  </w:font>
  <w:font w:name="等线">
    <w:altName w:val="宋体"/>
    <w:panose1 w:val="00000000000000000000"/>
    <w:charset w:val="86"/>
    <w:family w:val="modern"/>
    <w:pitch w:val="default"/>
    <w:sig w:usb0="00000000" w:usb1="00000000" w:usb2="00000010" w:usb3="00000000" w:csb0="00040000" w:csb1="00000000"/>
  </w:font>
  <w:font w:name="瀹嬩綋">
    <w:altName w:val="宋体"/>
    <w:panose1 w:val="00000000000000000000"/>
    <w:charset w:val="01"/>
    <w:family w:val="auto"/>
    <w:pitch w:val="default"/>
    <w:sig w:usb0="00000000" w:usb1="00000000" w:usb2="00000000" w:usb3="00000000" w:csb0="00040001" w:csb1="00000000"/>
  </w:font>
  <w:font w:name="AvenirNextLTPro-Regular">
    <w:altName w:val="Courier New"/>
    <w:panose1 w:val="00000000000000000000"/>
    <w:charset w:val="00"/>
    <w:family w:val="auto"/>
    <w:pitch w:val="default"/>
    <w:sig w:usb0="00000000" w:usb1="00000000" w:usb2="00000000" w:usb3="00000000" w:csb0="00040001" w:csb1="00000000"/>
  </w:font>
  <w:font w:name="Courier New">
    <w:panose1 w:val="02070309020205020404"/>
    <w:charset w:val="00"/>
    <w:family w:val="decorative"/>
    <w:pitch w:val="default"/>
    <w:sig w:usb0="00007A87" w:usb1="80000000" w:usb2="00000008" w:usb3="00000000" w:csb0="400001FF" w:csb1="FFFF0000"/>
  </w:font>
  <w:font w:name="等线">
    <w:altName w:val="宋体"/>
    <w:panose1 w:val="00000000000000000000"/>
    <w:charset w:val="86"/>
    <w:family w:val="swiss"/>
    <w:pitch w:val="default"/>
    <w:sig w:usb0="00000000" w:usb1="00000000" w:usb2="00000010" w:usb3="00000000" w:csb0="00040000" w:csb1="00000000"/>
  </w:font>
  <w:font w:name="Courier New">
    <w:panose1 w:val="02070309020205020404"/>
    <w:charset w:val="00"/>
    <w:family w:val="roman"/>
    <w:pitch w:val="default"/>
    <w:sig w:usb0="00007A87" w:usb1="80000000" w:usb2="00000008" w:usb3="00000000" w:csb0="400001FF" w:csb1="FFFF0000"/>
  </w:font>
  <w:font w:name="等线">
    <w:altName w:val="宋体"/>
    <w:panose1 w:val="00000000000000000000"/>
    <w:charset w:val="86"/>
    <w:family w:val="decorative"/>
    <w:pitch w:val="default"/>
    <w:sig w:usb0="00000000" w:usb1="00000000" w:usb2="00000010" w:usb3="00000000" w:csb0="00040000" w:csb1="00000000"/>
  </w:font>
  <w:font w:name="Arial">
    <w:panose1 w:val="020B0604020202020204"/>
    <w:charset w:val="00"/>
    <w:family w:val="auto"/>
    <w:pitch w:val="default"/>
    <w:sig w:usb0="00007A87" w:usb1="80000000" w:usb2="00000008" w:usb3="00000000" w:csb0="400001FF" w:csb1="FFFF0000"/>
  </w:font>
  <w:font w:name="Tahoma">
    <w:panose1 w:val="020B0604030504040204"/>
    <w:charset w:val="00"/>
    <w:family w:val="auto"/>
    <w:pitch w:val="default"/>
    <w:sig w:usb0="61007A87" w:usb1="80000000" w:usb2="00000008" w:usb3="00000000" w:csb0="200101FF" w:csb1="20280000"/>
  </w:font>
  <w:font w:name="Arial">
    <w:panose1 w:val="020B0604020202020204"/>
    <w:charset w:val="00"/>
    <w:family w:val="decorative"/>
    <w:pitch w:val="default"/>
    <w:sig w:usb0="00007A87" w:usb1="80000000" w:usb2="00000008" w:usb3="00000000" w:csb0="400001FF" w:csb1="FFFF0000"/>
  </w:font>
  <w:font w:name="Tahoma">
    <w:panose1 w:val="020B0604030504040204"/>
    <w:charset w:val="00"/>
    <w:family w:val="decorative"/>
    <w:pitch w:val="default"/>
    <w:sig w:usb0="61007A87" w:usb1="80000000" w:usb2="00000008" w:usb3="00000000" w:csb0="200101FF" w:csb1="20280000"/>
  </w:font>
  <w:font w:name="Arial">
    <w:panose1 w:val="020B0604020202020204"/>
    <w:charset w:val="00"/>
    <w:family w:val="roman"/>
    <w:pitch w:val="default"/>
    <w:sig w:usb0="00007A87" w:usb1="80000000" w:usb2="00000008" w:usb3="00000000" w:csb0="400001FF" w:csb1="FFFF0000"/>
  </w:font>
  <w:font w:name="Tahoma">
    <w:panose1 w:val="020B0604030504040204"/>
    <w:charset w:val="00"/>
    <w:family w:val="roman"/>
    <w:pitch w:val="default"/>
    <w:sig w:usb0="61007A87" w:usb1="80000000" w:usb2="00000008" w:usb3="00000000" w:csb0="200101FF" w:csb1="20280000"/>
  </w:font>
  <w:font w:name="Arial">
    <w:panose1 w:val="020B0604020202020204"/>
    <w:charset w:val="00"/>
    <w:family w:val="modern"/>
    <w:pitch w:val="default"/>
    <w:sig w:usb0="00007A87" w:usb1="80000000" w:usb2="00000008" w:usb3="00000000" w:csb0="400001FF" w:csb1="FFFF0000"/>
  </w:font>
  <w:font w:name="Tahoma">
    <w:panose1 w:val="020B0604030504040204"/>
    <w:charset w:val="00"/>
    <w:family w:val="modern"/>
    <w:pitch w:val="default"/>
    <w:sig w:usb0="61007A87" w:usb1="80000000" w:usb2="00000008" w:usb3="00000000" w:csb0="200101FF" w:csb1="20280000"/>
  </w:font>
  <w:font w:name="Arial">
    <w:panose1 w:val="020B0604020202020204"/>
    <w:charset w:val="00"/>
    <w:family w:val="swiss"/>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93787745">
    <w:nsid w:val="05971661"/>
    <w:multiLevelType w:val="multilevel"/>
    <w:tmpl w:val="05971661"/>
    <w:lvl w:ilvl="0" w:tentative="1">
      <w:start w:val="1"/>
      <w:numFmt w:val="bullet"/>
      <w:lvlText w:val=""/>
      <w:lvlJc w:val="left"/>
      <w:pPr>
        <w:ind w:left="720" w:hanging="360"/>
      </w:pPr>
      <w:rPr>
        <w:rFonts w:hint="default" w:ascii="Symbol" w:hAnsi="Symbol"/>
      </w:rPr>
    </w:lvl>
    <w:lvl w:ilvl="1" w:tentative="1">
      <w:start w:val="1"/>
      <w:numFmt w:val="bullet"/>
      <w:lvlText w:val="o"/>
      <w:lvlJc w:val="left"/>
      <w:pPr>
        <w:ind w:left="1440" w:hanging="360"/>
      </w:pPr>
      <w:rPr>
        <w:rFonts w:hint="default" w:ascii="Courier New" w:hAnsi="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rPr>
    </w:lvl>
    <w:lvl w:ilvl="8" w:tentative="1">
      <w:start w:val="1"/>
      <w:numFmt w:val="bullet"/>
      <w:lvlText w:val=""/>
      <w:lvlJc w:val="left"/>
      <w:pPr>
        <w:ind w:left="6480" w:hanging="360"/>
      </w:pPr>
      <w:rPr>
        <w:rFonts w:hint="default" w:ascii="Wingdings" w:hAnsi="Wingdings"/>
      </w:rPr>
    </w:lvl>
  </w:abstractNum>
  <w:abstractNum w:abstractNumId="1352023764">
    <w:nsid w:val="50963ED4"/>
    <w:multiLevelType w:val="multilevel"/>
    <w:tmpl w:val="50963ED4"/>
    <w:lvl w:ilvl="0" w:tentative="1">
      <w:start w:val="1"/>
      <w:numFmt w:val="bullet"/>
      <w:lvlText w:val=""/>
      <w:lvlJc w:val="left"/>
      <w:pPr>
        <w:ind w:left="720" w:hanging="360"/>
      </w:pPr>
      <w:rPr>
        <w:rFonts w:hint="default" w:ascii="Symbol" w:hAnsi="Symbol"/>
      </w:rPr>
    </w:lvl>
    <w:lvl w:ilvl="1" w:tentative="1">
      <w:start w:val="1"/>
      <w:numFmt w:val="bullet"/>
      <w:lvlText w:val="o"/>
      <w:lvlJc w:val="left"/>
      <w:pPr>
        <w:ind w:left="1440" w:hanging="360"/>
      </w:pPr>
      <w:rPr>
        <w:rFonts w:hint="default" w:ascii="Courier New" w:hAnsi="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rPr>
    </w:lvl>
    <w:lvl w:ilvl="8" w:tentative="1">
      <w:start w:val="1"/>
      <w:numFmt w:val="bullet"/>
      <w:lvlText w:val=""/>
      <w:lvlJc w:val="left"/>
      <w:pPr>
        <w:ind w:left="6480" w:hanging="360"/>
      </w:pPr>
      <w:rPr>
        <w:rFonts w:hint="default" w:ascii="Wingdings" w:hAnsi="Wingdings"/>
      </w:rPr>
    </w:lvl>
  </w:abstractNum>
  <w:abstractNum w:abstractNumId="1880777418">
    <w:nsid w:val="701A62CA"/>
    <w:multiLevelType w:val="multilevel"/>
    <w:tmpl w:val="701A62CA"/>
    <w:lvl w:ilvl="0" w:tentative="1">
      <w:start w:val="1"/>
      <w:numFmt w:val="decimal"/>
      <w:lvlText w:val="%1."/>
      <w:lvlJc w:val="left"/>
      <w:pPr>
        <w:ind w:left="720" w:hanging="360"/>
      </w:pPr>
      <w:rPr>
        <w:rFonts w:hint="default"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74687495">
    <w:nsid w:val="1C4B2807"/>
    <w:multiLevelType w:val="multilevel"/>
    <w:tmpl w:val="1C4B2807"/>
    <w:lvl w:ilvl="0" w:tentative="1">
      <w:start w:val="1"/>
      <w:numFmt w:val="decimal"/>
      <w:lvlText w:val="%1."/>
      <w:lvlJc w:val="left"/>
      <w:pPr>
        <w:ind w:left="720" w:hanging="360"/>
      </w:pPr>
      <w:rPr>
        <w:rFonts w:hint="default"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77306356">
    <w:nsid w:val="6FE56BF4"/>
    <w:multiLevelType w:val="multilevel"/>
    <w:tmpl w:val="6FE56BF4"/>
    <w:lvl w:ilvl="0" w:tentative="1">
      <w:start w:val="1"/>
      <w:numFmt w:val="decimal"/>
      <w:lvlText w:val="%1."/>
      <w:lvlJc w:val="left"/>
      <w:pPr>
        <w:ind w:left="720" w:hanging="360"/>
      </w:pPr>
      <w:rPr>
        <w:rFonts w:hint="default"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93787745"/>
  </w:num>
  <w:num w:numId="2">
    <w:abstractNumId w:val="1352023764"/>
  </w:num>
  <w:num w:numId="3">
    <w:abstractNumId w:val="474687495"/>
  </w:num>
  <w:num w:numId="4">
    <w:abstractNumId w:val="1877306356"/>
  </w:num>
  <w:num w:numId="5">
    <w:abstractNumId w:val="18807774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0D21"/>
    <w:rsid w:val="0004788F"/>
    <w:rsid w:val="00133B49"/>
    <w:rsid w:val="00136D7D"/>
    <w:rsid w:val="00285171"/>
    <w:rsid w:val="0028527D"/>
    <w:rsid w:val="002C4FDE"/>
    <w:rsid w:val="00302293"/>
    <w:rsid w:val="003D3D82"/>
    <w:rsid w:val="00435A47"/>
    <w:rsid w:val="004A46DC"/>
    <w:rsid w:val="005A0522"/>
    <w:rsid w:val="005A51F5"/>
    <w:rsid w:val="00602456"/>
    <w:rsid w:val="006E5D82"/>
    <w:rsid w:val="00774E9A"/>
    <w:rsid w:val="00781CF6"/>
    <w:rsid w:val="007A64E4"/>
    <w:rsid w:val="009342C7"/>
    <w:rsid w:val="00B01BD8"/>
    <w:rsid w:val="00B815D5"/>
    <w:rsid w:val="00B8592F"/>
    <w:rsid w:val="00BD782C"/>
    <w:rsid w:val="00C26AAE"/>
    <w:rsid w:val="00C31082"/>
    <w:rsid w:val="00C95257"/>
    <w:rsid w:val="00D235DA"/>
    <w:rsid w:val="00DB579D"/>
    <w:rsid w:val="00E0291D"/>
    <w:rsid w:val="00E04395"/>
    <w:rsid w:val="00E13DDC"/>
    <w:rsid w:val="00E24DD7"/>
    <w:rsid w:val="00E31B0A"/>
    <w:rsid w:val="00E90D21"/>
    <w:rsid w:val="00F661B3"/>
    <w:rsid w:val="00FC7A99"/>
    <w:rsid w:val="09845603"/>
    <w:rsid w:val="0EA1012E"/>
    <w:rsid w:val="127D6363"/>
    <w:rsid w:val="13A65E3B"/>
    <w:rsid w:val="38A15337"/>
    <w:rsid w:val="45F86C7B"/>
    <w:rsid w:val="65FD6E48"/>
    <w:rsid w:val="6EA9791B"/>
    <w:rsid w:val="70DE7793"/>
    <w:rsid w:val="731D2368"/>
    <w:rsid w:val="76A23D50"/>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等线" w:cs="Times New Roman"/>
      <w:kern w:val="0"/>
      <w:sz w:val="22"/>
      <w:szCs w:val="22"/>
      <w:lang w:val="en-CA" w:eastAsia="zh-CN" w:bidi="ar-SA"/>
    </w:rPr>
  </w:style>
  <w:style w:type="character" w:default="1" w:styleId="2">
    <w:name w:val="Default Paragraph Font"/>
    <w:semiHidden/>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141</Words>
  <Characters>805</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2016-03-07T02:37:00Z</dcterms:created>
  <dc:creator>Bill</dc:creator>
  <cp:lastModifiedBy>Administrator</cp:lastModifiedBy>
  <dcterms:modified xsi:type="dcterms:W3CDTF">2016-03-16T11:35:33Z</dcterms:modified>
  <dc:title>3+1+1 计算大数据理学硕士项目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